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80"/>
      </w:tblGrid>
      <w:tr w:rsidR="00E14C91" w:rsidRPr="00E14C91" w:rsidTr="00E14C91">
        <w:trPr>
          <w:tblCellSpacing w:w="0" w:type="dxa"/>
        </w:trPr>
        <w:tc>
          <w:tcPr>
            <w:tcW w:w="0" w:type="auto"/>
            <w:vAlign w:val="center"/>
            <w:hideMark/>
          </w:tcPr>
          <w:p w:rsidR="00E14C91" w:rsidRPr="00E14C91" w:rsidRDefault="00E14C91" w:rsidP="00E14C91">
            <w:pPr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E14C91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</w:rPr>
              <w:t>Tarifas</w:t>
            </w:r>
            <w:proofErr w:type="spellEnd"/>
            <w:r w:rsidRPr="00E14C91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</w:rPr>
              <w:t> </w:t>
            </w:r>
            <w:proofErr w:type="spellStart"/>
            <w:r w:rsidRPr="00E14C91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</w:rPr>
              <w:t>Promocionales</w:t>
            </w:r>
            <w:proofErr w:type="spellEnd"/>
            <w:r w:rsidRPr="00E14C91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</w:rPr>
              <w:t> </w:t>
            </w:r>
            <w:proofErr w:type="spellStart"/>
            <w:r w:rsidRPr="00E14C91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</w:rPr>
              <w:t>Telefonia</w:t>
            </w:r>
            <w:proofErr w:type="spellEnd"/>
            <w:r w:rsidRPr="00E14C91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</w:rPr>
              <w:t xml:space="preserve"> </w:t>
            </w:r>
            <w:proofErr w:type="spellStart"/>
            <w:r w:rsidRPr="00E14C91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</w:rPr>
              <w:t>Movil</w:t>
            </w:r>
            <w:proofErr w:type="spellEnd"/>
          </w:p>
        </w:tc>
      </w:tr>
      <w:tr w:rsidR="00E14C91" w:rsidRPr="00E14C91" w:rsidTr="00E14C91">
        <w:trPr>
          <w:tblCellSpacing w:w="0" w:type="dxa"/>
        </w:trPr>
        <w:tc>
          <w:tcPr>
            <w:tcW w:w="0" w:type="auto"/>
            <w:vAlign w:val="center"/>
            <w:hideMark/>
          </w:tcPr>
          <w:p w:rsidR="00E14C91" w:rsidRPr="00E14C91" w:rsidRDefault="00E14C91" w:rsidP="00E14C91">
            <w:pPr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E14C91" w:rsidRPr="00E14C91" w:rsidRDefault="00E14C91" w:rsidP="00E14C91">
      <w:pPr>
        <w:spacing w:after="0"/>
        <w:rPr>
          <w:rFonts w:ascii="Tahoma" w:eastAsia="Times New Roman" w:hAnsi="Tahoma" w:cs="Tahoma"/>
          <w:sz w:val="20"/>
          <w:szCs w:val="20"/>
        </w:rPr>
      </w:pPr>
      <w:r w:rsidRPr="00E14C91">
        <w:rPr>
          <w:rFonts w:ascii="Tahoma" w:eastAsia="Times New Roman" w:hAnsi="Tahoma" w:cs="Tahoma"/>
          <w:sz w:val="20"/>
          <w:szCs w:val="20"/>
        </w:rPr>
        <w:pict>
          <v:rect id="_x0000_i1025" style="width:468pt;height:1.5pt" o:hralign="center" o:hrstd="t" o:hrnoshade="t" o:hr="t" fillcolor="black" stroked="f"/>
        </w:pic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96"/>
        <w:gridCol w:w="7584"/>
      </w:tblGrid>
      <w:tr w:rsidR="00E14C91" w:rsidRPr="00E14C91" w:rsidTr="00E14C91">
        <w:trPr>
          <w:tblCellSpacing w:w="0" w:type="dxa"/>
        </w:trPr>
        <w:tc>
          <w:tcPr>
            <w:tcW w:w="1000" w:type="pct"/>
            <w:vAlign w:val="center"/>
            <w:hideMark/>
          </w:tcPr>
          <w:p w:rsidR="00E14C91" w:rsidRPr="00E14C91" w:rsidRDefault="00E14C91" w:rsidP="00E14C91">
            <w:pPr>
              <w:spacing w:after="0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E14C9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Empresa</w:t>
            </w:r>
            <w:proofErr w:type="spellEnd"/>
            <w:r w:rsidRPr="00E14C9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14C91" w:rsidRPr="00E14C91" w:rsidRDefault="00E14C91" w:rsidP="00E14C91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val="es-MX"/>
              </w:rPr>
            </w:pPr>
            <w:r w:rsidRPr="00E14C91">
              <w:rPr>
                <w:rFonts w:ascii="Tahoma" w:eastAsia="Times New Roman" w:hAnsi="Tahoma" w:cs="Tahoma"/>
                <w:sz w:val="20"/>
                <w:szCs w:val="20"/>
                <w:lang w:val="es-MX"/>
              </w:rPr>
              <w:t>ENTEL PERÚ S.A. (antes NEXTEL DEL PERÚ S.A.)</w:t>
            </w:r>
          </w:p>
        </w:tc>
      </w:tr>
      <w:tr w:rsidR="00E14C91" w:rsidRPr="00E14C91" w:rsidTr="00E14C91">
        <w:trPr>
          <w:tblCellSpacing w:w="0" w:type="dxa"/>
        </w:trPr>
        <w:tc>
          <w:tcPr>
            <w:tcW w:w="1000" w:type="pct"/>
            <w:vAlign w:val="center"/>
            <w:hideMark/>
          </w:tcPr>
          <w:p w:rsidR="00E14C91" w:rsidRPr="00E14C91" w:rsidRDefault="00E14C91" w:rsidP="00E14C91">
            <w:pPr>
              <w:spacing w:after="0"/>
              <w:jc w:val="right"/>
              <w:rPr>
                <w:rFonts w:ascii="Tahoma" w:eastAsia="Times New Roman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vAlign w:val="center"/>
            <w:hideMark/>
          </w:tcPr>
          <w:p w:rsidR="00E14C91" w:rsidRPr="00E14C91" w:rsidRDefault="00E14C91" w:rsidP="00E14C91">
            <w:pPr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E14C91">
              <w:rPr>
                <w:rFonts w:ascii="Tahoma" w:eastAsia="Times New Roman" w:hAnsi="Tahoma" w:cs="Tahoma"/>
                <w:sz w:val="20"/>
                <w:szCs w:val="20"/>
              </w:rPr>
              <w:t>POST PAGO</w:t>
            </w:r>
          </w:p>
        </w:tc>
      </w:tr>
      <w:tr w:rsidR="00E14C91" w:rsidRPr="00E14C91" w:rsidTr="00E14C91">
        <w:trPr>
          <w:tblCellSpacing w:w="0" w:type="dxa"/>
        </w:trPr>
        <w:tc>
          <w:tcPr>
            <w:tcW w:w="1000" w:type="pct"/>
            <w:vAlign w:val="center"/>
            <w:hideMark/>
          </w:tcPr>
          <w:p w:rsidR="00E14C91" w:rsidRPr="00E14C91" w:rsidRDefault="00E14C91" w:rsidP="00E14C91">
            <w:pPr>
              <w:spacing w:after="0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14C91" w:rsidRPr="00E14C91" w:rsidRDefault="00E14C91" w:rsidP="00E14C91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val="es-MX"/>
              </w:rPr>
            </w:pPr>
            <w:r w:rsidRPr="00E14C91">
              <w:rPr>
                <w:rFonts w:ascii="Tahoma" w:eastAsia="Times New Roman" w:hAnsi="Tahoma" w:cs="Tahoma"/>
                <w:sz w:val="20"/>
                <w:szCs w:val="20"/>
                <w:lang w:val="es-MX"/>
              </w:rPr>
              <w:t xml:space="preserve">LOCAL / LARGA DISTANCIA NACIONAL / LARGA DISTANCIA INTERNACIONAL </w:t>
            </w:r>
          </w:p>
        </w:tc>
      </w:tr>
      <w:tr w:rsidR="00E14C91" w:rsidRPr="00E14C91" w:rsidTr="00E14C91">
        <w:trPr>
          <w:tblCellSpacing w:w="0" w:type="dxa"/>
        </w:trPr>
        <w:tc>
          <w:tcPr>
            <w:tcW w:w="1000" w:type="pct"/>
            <w:vAlign w:val="center"/>
            <w:hideMark/>
          </w:tcPr>
          <w:p w:rsidR="00E14C91" w:rsidRPr="00E14C91" w:rsidRDefault="00E14C91" w:rsidP="00E14C91">
            <w:pPr>
              <w:spacing w:after="0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E14C9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Nombre</w:t>
            </w:r>
            <w:proofErr w:type="spellEnd"/>
            <w:r w:rsidRPr="00E14C9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14C91" w:rsidRPr="00E14C91" w:rsidRDefault="00E14C91" w:rsidP="00E14C91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val="es-MX"/>
              </w:rPr>
            </w:pPr>
            <w:r w:rsidRPr="00E14C91">
              <w:rPr>
                <w:rFonts w:ascii="Tahoma" w:eastAsia="Times New Roman" w:hAnsi="Tahoma" w:cs="Tahoma"/>
                <w:sz w:val="20"/>
                <w:szCs w:val="20"/>
                <w:lang w:val="es-MX"/>
              </w:rPr>
              <w:t xml:space="preserve">Bono por Recarga Internet Entel </w:t>
            </w:r>
            <w:proofErr w:type="spellStart"/>
            <w:r w:rsidRPr="00E14C91">
              <w:rPr>
                <w:rFonts w:ascii="Tahoma" w:eastAsia="Times New Roman" w:hAnsi="Tahoma" w:cs="Tahoma"/>
                <w:sz w:val="20"/>
                <w:szCs w:val="20"/>
                <w:lang w:val="es-MX"/>
              </w:rPr>
              <w:t>Postpago</w:t>
            </w:r>
            <w:proofErr w:type="spellEnd"/>
          </w:p>
        </w:tc>
      </w:tr>
      <w:tr w:rsidR="00E14C91" w:rsidRPr="00E14C91" w:rsidTr="00E14C91">
        <w:trPr>
          <w:tblCellSpacing w:w="0" w:type="dxa"/>
        </w:trPr>
        <w:tc>
          <w:tcPr>
            <w:tcW w:w="1000" w:type="pct"/>
            <w:vAlign w:val="center"/>
            <w:hideMark/>
          </w:tcPr>
          <w:p w:rsidR="00E14C91" w:rsidRPr="00E14C91" w:rsidRDefault="00E14C91" w:rsidP="00E14C91">
            <w:pPr>
              <w:spacing w:after="0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E14C9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Fecha</w:t>
            </w:r>
            <w:proofErr w:type="spellEnd"/>
            <w:r w:rsidRPr="00E14C9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4C9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Inicio</w:t>
            </w:r>
            <w:proofErr w:type="spellEnd"/>
            <w:r w:rsidRPr="00E14C9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14C91" w:rsidRPr="00E14C91" w:rsidRDefault="008A0ECE" w:rsidP="00E14C91">
            <w:pPr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01/04</w:t>
            </w:r>
            <w:r w:rsidR="00E14C91" w:rsidRPr="00E14C91">
              <w:rPr>
                <w:rFonts w:ascii="Tahoma" w:eastAsia="Times New Roman" w:hAnsi="Tahoma" w:cs="Tahoma"/>
                <w:sz w:val="20"/>
                <w:szCs w:val="20"/>
              </w:rPr>
              <w:t>/2015</w:t>
            </w:r>
          </w:p>
        </w:tc>
      </w:tr>
      <w:tr w:rsidR="00E14C91" w:rsidRPr="00E14C91" w:rsidTr="00E14C91">
        <w:trPr>
          <w:tblCellSpacing w:w="0" w:type="dxa"/>
        </w:trPr>
        <w:tc>
          <w:tcPr>
            <w:tcW w:w="1000" w:type="pct"/>
            <w:vAlign w:val="center"/>
            <w:hideMark/>
          </w:tcPr>
          <w:p w:rsidR="00E14C91" w:rsidRPr="00E14C91" w:rsidRDefault="00E14C91" w:rsidP="00E14C91">
            <w:pPr>
              <w:spacing w:after="0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E14C9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Fecha</w:t>
            </w:r>
            <w:proofErr w:type="spellEnd"/>
            <w:r w:rsidRPr="00E14C9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Fin:</w:t>
            </w:r>
          </w:p>
        </w:tc>
        <w:tc>
          <w:tcPr>
            <w:tcW w:w="0" w:type="auto"/>
            <w:vAlign w:val="center"/>
            <w:hideMark/>
          </w:tcPr>
          <w:p w:rsidR="00E14C91" w:rsidRPr="00E14C91" w:rsidRDefault="008A0ECE" w:rsidP="00E14C91">
            <w:pPr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14/04</w:t>
            </w:r>
            <w:r w:rsidR="00E14C91" w:rsidRPr="00E14C91">
              <w:rPr>
                <w:rFonts w:ascii="Tahoma" w:eastAsia="Times New Roman" w:hAnsi="Tahoma" w:cs="Tahoma"/>
                <w:sz w:val="20"/>
                <w:szCs w:val="20"/>
              </w:rPr>
              <w:t>/2015</w:t>
            </w:r>
          </w:p>
        </w:tc>
      </w:tr>
      <w:tr w:rsidR="00E14C91" w:rsidRPr="00E14C91" w:rsidTr="00E14C91">
        <w:trPr>
          <w:tblCellSpacing w:w="0" w:type="dxa"/>
        </w:trPr>
        <w:tc>
          <w:tcPr>
            <w:tcW w:w="1000" w:type="pct"/>
            <w:vAlign w:val="center"/>
            <w:hideMark/>
          </w:tcPr>
          <w:p w:rsidR="00E14C91" w:rsidRPr="00E14C91" w:rsidRDefault="00E14C91" w:rsidP="00E14C91">
            <w:pPr>
              <w:spacing w:after="0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E14C9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Numero</w:t>
            </w:r>
            <w:proofErr w:type="spellEnd"/>
            <w:r w:rsidRPr="00E14C9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E14C9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Atención</w:t>
            </w:r>
            <w:proofErr w:type="spellEnd"/>
            <w:r w:rsidRPr="00E14C9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14C91" w:rsidRPr="00E14C91" w:rsidRDefault="00E14C91" w:rsidP="00E14C91">
            <w:pPr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E14C91">
              <w:rPr>
                <w:rFonts w:ascii="Tahoma" w:eastAsia="Times New Roman" w:hAnsi="Tahoma" w:cs="Tahoma"/>
                <w:sz w:val="20"/>
                <w:szCs w:val="20"/>
              </w:rPr>
              <w:t>6117777</w:t>
            </w:r>
          </w:p>
        </w:tc>
      </w:tr>
      <w:tr w:rsidR="00E14C91" w:rsidRPr="00E14C91" w:rsidTr="00E14C91">
        <w:trPr>
          <w:tblCellSpacing w:w="0" w:type="dxa"/>
        </w:trPr>
        <w:tc>
          <w:tcPr>
            <w:tcW w:w="1000" w:type="pct"/>
            <w:vAlign w:val="center"/>
            <w:hideMark/>
          </w:tcPr>
          <w:p w:rsidR="00E14C91" w:rsidRPr="00E14C91" w:rsidRDefault="00E14C91" w:rsidP="00E14C91">
            <w:pPr>
              <w:spacing w:after="0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14C9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Web:</w:t>
            </w:r>
          </w:p>
        </w:tc>
        <w:tc>
          <w:tcPr>
            <w:tcW w:w="0" w:type="auto"/>
            <w:vAlign w:val="center"/>
            <w:hideMark/>
          </w:tcPr>
          <w:p w:rsidR="00E14C91" w:rsidRPr="00E14C91" w:rsidRDefault="00E14C91" w:rsidP="00E14C91">
            <w:pPr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  <w:hyperlink r:id="rId5" w:tgtFrame="_blank" w:history="1">
              <w:r w:rsidRPr="00E14C91">
                <w:rPr>
                  <w:rFonts w:ascii="Tahoma" w:eastAsia="Times New Roman" w:hAnsi="Tahoma" w:cs="Tahoma"/>
                  <w:color w:val="004584"/>
                  <w:sz w:val="20"/>
                  <w:szCs w:val="20"/>
                </w:rPr>
                <w:t>http://www.entel.pe/publicaciones-de-la-semana/</w:t>
              </w:r>
            </w:hyperlink>
          </w:p>
        </w:tc>
      </w:tr>
      <w:tr w:rsidR="00E14C91" w:rsidRPr="00E14C91" w:rsidTr="00E14C91">
        <w:trPr>
          <w:trHeight w:val="150"/>
          <w:tblCellSpacing w:w="0" w:type="dxa"/>
        </w:trPr>
        <w:tc>
          <w:tcPr>
            <w:tcW w:w="0" w:type="auto"/>
            <w:gridSpan w:val="2"/>
            <w:shd w:val="clear" w:color="auto" w:fill="3E4997"/>
            <w:hideMark/>
          </w:tcPr>
          <w:p w:rsidR="00E14C91" w:rsidRPr="00E14C91" w:rsidRDefault="00E14C91" w:rsidP="00E14C91">
            <w:pPr>
              <w:spacing w:after="0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14C9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E14C91" w:rsidRPr="00E14C91" w:rsidTr="00E14C91">
        <w:trPr>
          <w:tblCellSpacing w:w="0" w:type="dxa"/>
        </w:trPr>
        <w:tc>
          <w:tcPr>
            <w:tcW w:w="1000" w:type="pct"/>
            <w:hideMark/>
          </w:tcPr>
          <w:p w:rsidR="00E14C91" w:rsidRPr="00E14C91" w:rsidRDefault="00E14C91" w:rsidP="00E14C91">
            <w:pPr>
              <w:spacing w:after="0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E14C9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Características</w:t>
            </w:r>
            <w:proofErr w:type="spellEnd"/>
            <w:r w:rsidRPr="00E14C9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14C91" w:rsidRPr="00E14C91" w:rsidRDefault="00E14C91" w:rsidP="00E14C91">
            <w:pPr>
              <w:rPr>
                <w:rFonts w:ascii="Tahoma" w:eastAsia="Times New Roman" w:hAnsi="Tahoma" w:cs="Tahoma"/>
                <w:sz w:val="20"/>
                <w:szCs w:val="20"/>
                <w:lang w:val="es-MX"/>
              </w:rPr>
            </w:pPr>
            <w:r w:rsidRPr="00E14C91">
              <w:rPr>
                <w:rFonts w:ascii="Tahoma" w:eastAsia="Times New Roman" w:hAnsi="Tahoma" w:cs="Tahoma"/>
                <w:sz w:val="20"/>
                <w:szCs w:val="20"/>
                <w:lang w:val="es-MX"/>
              </w:rPr>
              <w:t xml:space="preserve">Entel Perú S.A. (“Entel”) anuncia al público en general el lanzamiento de la promoción denominada “Bono por Recarga Internet Entel </w:t>
            </w:r>
            <w:proofErr w:type="spellStart"/>
            <w:r w:rsidRPr="00E14C91">
              <w:rPr>
                <w:rFonts w:ascii="Tahoma" w:eastAsia="Times New Roman" w:hAnsi="Tahoma" w:cs="Tahoma"/>
                <w:sz w:val="20"/>
                <w:szCs w:val="20"/>
                <w:lang w:val="es-MX"/>
              </w:rPr>
              <w:t>Postpago</w:t>
            </w:r>
            <w:proofErr w:type="spellEnd"/>
            <w:r w:rsidRPr="00E14C91">
              <w:rPr>
                <w:rFonts w:ascii="Tahoma" w:eastAsia="Times New Roman" w:hAnsi="Tahoma" w:cs="Tahoma"/>
                <w:sz w:val="20"/>
                <w:szCs w:val="20"/>
                <w:lang w:val="es-MX"/>
              </w:rPr>
              <w:t xml:space="preserve">” (la “Promoción”) vigente </w:t>
            </w:r>
            <w:r w:rsidR="008A0ECE">
              <w:rPr>
                <w:rFonts w:ascii="Tahoma" w:eastAsia="Times New Roman" w:hAnsi="Tahoma" w:cs="Tahoma"/>
                <w:sz w:val="20"/>
                <w:szCs w:val="20"/>
                <w:lang w:val="es-MX"/>
              </w:rPr>
              <w:t>para su contratación desde el 01 al 14 de abril</w:t>
            </w:r>
            <w:bookmarkStart w:id="0" w:name="_GoBack"/>
            <w:bookmarkEnd w:id="0"/>
            <w:r w:rsidRPr="00E14C91">
              <w:rPr>
                <w:rFonts w:ascii="Tahoma" w:eastAsia="Times New Roman" w:hAnsi="Tahoma" w:cs="Tahoma"/>
                <w:sz w:val="20"/>
                <w:szCs w:val="20"/>
                <w:lang w:val="es-MX"/>
              </w:rPr>
              <w:t xml:space="preserve"> de 2015, cuyas condiciones se detallan a continuación:</w:t>
            </w:r>
            <w:r w:rsidRPr="00E14C91">
              <w:rPr>
                <w:rFonts w:ascii="Tahoma" w:eastAsia="Times New Roman" w:hAnsi="Tahoma" w:cs="Tahoma"/>
                <w:sz w:val="20"/>
                <w:szCs w:val="20"/>
                <w:lang w:val="es-MX"/>
              </w:rPr>
              <w:br/>
            </w:r>
            <w:r w:rsidRPr="00E14C91">
              <w:rPr>
                <w:rFonts w:ascii="Tahoma" w:eastAsia="Times New Roman" w:hAnsi="Tahoma" w:cs="Tahoma"/>
                <w:sz w:val="20"/>
                <w:szCs w:val="20"/>
                <w:lang w:val="es-MX"/>
              </w:rPr>
              <w:br/>
              <w:t>Condiciones de la promoción:</w:t>
            </w:r>
            <w:r w:rsidRPr="00E14C91">
              <w:rPr>
                <w:rFonts w:ascii="Tahoma" w:eastAsia="Times New Roman" w:hAnsi="Tahoma" w:cs="Tahoma"/>
                <w:sz w:val="20"/>
                <w:szCs w:val="20"/>
                <w:lang w:val="es-MX"/>
              </w:rPr>
              <w:br/>
            </w:r>
            <w:r w:rsidRPr="00E14C91">
              <w:rPr>
                <w:rFonts w:ascii="Tahoma" w:eastAsia="Times New Roman" w:hAnsi="Tahoma" w:cs="Tahoma"/>
                <w:sz w:val="20"/>
                <w:szCs w:val="20"/>
                <w:lang w:val="es-MX"/>
              </w:rPr>
              <w:br/>
              <w:t>Durante la vigencia de la Promoción, los abonados de Entel que cuenten con alguno de los siguientes planes tarifarios (los “Planes Tarifarios”):</w:t>
            </w:r>
          </w:p>
          <w:p w:rsidR="00E14C91" w:rsidRPr="00E14C91" w:rsidRDefault="00E14C91" w:rsidP="00E14C91">
            <w:pPr>
              <w:rPr>
                <w:rFonts w:ascii="Tahoma" w:eastAsia="Times New Roman" w:hAnsi="Tahoma" w:cs="Tahoma"/>
                <w:sz w:val="20"/>
                <w:szCs w:val="20"/>
                <w:lang w:val="es-MX"/>
              </w:rPr>
            </w:pPr>
            <w:r w:rsidRPr="00E14C91">
              <w:rPr>
                <w:rFonts w:ascii="Tahoma" w:eastAsia="Times New Roman" w:hAnsi="Tahoma" w:cs="Tahoma"/>
                <w:sz w:val="20"/>
                <w:szCs w:val="20"/>
                <w:lang w:val="es-MX"/>
              </w:rPr>
              <w:t> </w:t>
            </w:r>
          </w:p>
          <w:tbl>
            <w:tblPr>
              <w:tblW w:w="55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0"/>
              <w:gridCol w:w="2300"/>
            </w:tblGrid>
            <w:tr w:rsidR="00E14C91" w:rsidRPr="00E14C91">
              <w:trPr>
                <w:trHeight w:val="300"/>
                <w:jc w:val="center"/>
              </w:trPr>
              <w:tc>
                <w:tcPr>
                  <w:tcW w:w="32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DD9C4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14C91" w:rsidRPr="00E14C91" w:rsidRDefault="00E14C91" w:rsidP="00E14C9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val="es-MX"/>
                    </w:rPr>
                  </w:pPr>
                  <w:r w:rsidRPr="00E14C91">
                    <w:rPr>
                      <w:rFonts w:ascii="Tahoma" w:eastAsia="Times New Roman" w:hAnsi="Tahoma" w:cs="Tahoma"/>
                      <w:sz w:val="20"/>
                      <w:szCs w:val="20"/>
                      <w:lang w:val="es-MX"/>
                    </w:rPr>
                    <w:t>Planes Tarifarios</w:t>
                  </w:r>
                </w:p>
              </w:tc>
              <w:tc>
                <w:tcPr>
                  <w:tcW w:w="23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DD9C4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14C91" w:rsidRPr="00E14C91" w:rsidRDefault="00E14C91" w:rsidP="00E14C9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val="es-MX"/>
                    </w:rPr>
                  </w:pPr>
                  <w:r w:rsidRPr="00E14C91">
                    <w:rPr>
                      <w:rFonts w:ascii="Tahoma" w:eastAsia="Times New Roman" w:hAnsi="Tahoma" w:cs="Tahoma"/>
                      <w:sz w:val="20"/>
                      <w:szCs w:val="20"/>
                      <w:lang w:val="es-MX"/>
                    </w:rPr>
                    <w:t>Planes Tarifarios</w:t>
                  </w:r>
                </w:p>
              </w:tc>
            </w:tr>
            <w:tr w:rsidR="00E14C91" w:rsidRPr="00E14C91">
              <w:trPr>
                <w:trHeight w:val="300"/>
                <w:jc w:val="center"/>
              </w:trPr>
              <w:tc>
                <w:tcPr>
                  <w:tcW w:w="3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14C91" w:rsidRPr="00E14C91" w:rsidRDefault="00E14C91" w:rsidP="00E14C9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val="es-MX"/>
                    </w:rPr>
                  </w:pPr>
                  <w:r w:rsidRPr="00E14C91">
                    <w:rPr>
                      <w:rFonts w:ascii="Tahoma" w:eastAsia="Times New Roman" w:hAnsi="Tahoma" w:cs="Tahoma"/>
                      <w:sz w:val="20"/>
                      <w:szCs w:val="20"/>
                      <w:lang w:val="es-MX"/>
                    </w:rPr>
                    <w:t>Internet Entel 1GB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14C91" w:rsidRPr="00E14C91" w:rsidRDefault="00E14C91" w:rsidP="00E14C9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val="es-MX"/>
                    </w:rPr>
                  </w:pPr>
                  <w:r w:rsidRPr="00E14C91">
                    <w:rPr>
                      <w:rFonts w:ascii="Tahoma" w:eastAsia="Times New Roman" w:hAnsi="Tahoma" w:cs="Tahoma"/>
                      <w:sz w:val="20"/>
                      <w:szCs w:val="20"/>
                      <w:lang w:val="es-MX"/>
                    </w:rPr>
                    <w:t xml:space="preserve">TEINT201400210 </w:t>
                  </w:r>
                </w:p>
              </w:tc>
            </w:tr>
            <w:tr w:rsidR="00E14C91" w:rsidRPr="00E14C91">
              <w:trPr>
                <w:trHeight w:val="300"/>
                <w:jc w:val="center"/>
              </w:trPr>
              <w:tc>
                <w:tcPr>
                  <w:tcW w:w="3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14C91" w:rsidRPr="00E14C91" w:rsidRDefault="00E14C91" w:rsidP="00E14C9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val="es-MX"/>
                    </w:rPr>
                  </w:pPr>
                  <w:r w:rsidRPr="00E14C91">
                    <w:rPr>
                      <w:rFonts w:ascii="Tahoma" w:eastAsia="Times New Roman" w:hAnsi="Tahoma" w:cs="Tahoma"/>
                      <w:sz w:val="20"/>
                      <w:szCs w:val="20"/>
                      <w:lang w:val="es-MX"/>
                    </w:rPr>
                    <w:t>Internet Entel 3GB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14C91" w:rsidRPr="00E14C91" w:rsidRDefault="00E14C91" w:rsidP="00E14C9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val="es-MX"/>
                    </w:rPr>
                  </w:pPr>
                  <w:r w:rsidRPr="00E14C91">
                    <w:rPr>
                      <w:rFonts w:ascii="Tahoma" w:eastAsia="Times New Roman" w:hAnsi="Tahoma" w:cs="Tahoma"/>
                      <w:sz w:val="20"/>
                      <w:szCs w:val="20"/>
                      <w:lang w:val="es-MX"/>
                    </w:rPr>
                    <w:t xml:space="preserve">TEINT201400211 </w:t>
                  </w:r>
                </w:p>
              </w:tc>
            </w:tr>
            <w:tr w:rsidR="00E14C91" w:rsidRPr="00E14C91">
              <w:trPr>
                <w:trHeight w:val="300"/>
                <w:jc w:val="center"/>
              </w:trPr>
              <w:tc>
                <w:tcPr>
                  <w:tcW w:w="3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14C91" w:rsidRPr="00E14C91" w:rsidRDefault="00E14C91" w:rsidP="00E14C9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val="es-MX"/>
                    </w:rPr>
                  </w:pPr>
                  <w:r w:rsidRPr="00E14C91">
                    <w:rPr>
                      <w:rFonts w:ascii="Tahoma" w:eastAsia="Times New Roman" w:hAnsi="Tahoma" w:cs="Tahoma"/>
                      <w:sz w:val="20"/>
                      <w:szCs w:val="20"/>
                      <w:lang w:val="es-MX"/>
                    </w:rPr>
                    <w:t>Internet Entel 5.5GB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14C91" w:rsidRPr="00E14C91" w:rsidRDefault="00E14C91" w:rsidP="00E14C9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val="es-MX"/>
                    </w:rPr>
                  </w:pPr>
                  <w:r w:rsidRPr="00E14C91">
                    <w:rPr>
                      <w:rFonts w:ascii="Tahoma" w:eastAsia="Times New Roman" w:hAnsi="Tahoma" w:cs="Tahoma"/>
                      <w:sz w:val="20"/>
                      <w:szCs w:val="20"/>
                      <w:lang w:val="es-MX"/>
                    </w:rPr>
                    <w:t xml:space="preserve">TEINT201400212 </w:t>
                  </w:r>
                </w:p>
              </w:tc>
            </w:tr>
            <w:tr w:rsidR="00E14C91" w:rsidRPr="00E14C91">
              <w:trPr>
                <w:trHeight w:val="300"/>
                <w:jc w:val="center"/>
              </w:trPr>
              <w:tc>
                <w:tcPr>
                  <w:tcW w:w="3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14C91" w:rsidRPr="00E14C91" w:rsidRDefault="00E14C91" w:rsidP="00E14C9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val="es-MX"/>
                    </w:rPr>
                  </w:pPr>
                  <w:r w:rsidRPr="00E14C91">
                    <w:rPr>
                      <w:rFonts w:ascii="Tahoma" w:eastAsia="Times New Roman" w:hAnsi="Tahoma" w:cs="Tahoma"/>
                      <w:sz w:val="20"/>
                      <w:szCs w:val="20"/>
                      <w:lang w:val="es-MX"/>
                    </w:rPr>
                    <w:t>Internet Entel 10GB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14C91" w:rsidRPr="00E14C91" w:rsidRDefault="00E14C91" w:rsidP="00E14C9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val="es-MX"/>
                    </w:rPr>
                  </w:pPr>
                  <w:r w:rsidRPr="00E14C91">
                    <w:rPr>
                      <w:rFonts w:ascii="Tahoma" w:eastAsia="Times New Roman" w:hAnsi="Tahoma" w:cs="Tahoma"/>
                      <w:sz w:val="20"/>
                      <w:szCs w:val="20"/>
                      <w:lang w:val="es-MX"/>
                    </w:rPr>
                    <w:t xml:space="preserve">TEINT201400213 </w:t>
                  </w:r>
                </w:p>
              </w:tc>
            </w:tr>
            <w:tr w:rsidR="00E14C91" w:rsidRPr="00E14C91">
              <w:trPr>
                <w:trHeight w:val="300"/>
                <w:jc w:val="center"/>
              </w:trPr>
              <w:tc>
                <w:tcPr>
                  <w:tcW w:w="3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14C91" w:rsidRPr="00E14C91" w:rsidRDefault="00E14C91" w:rsidP="00E14C9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val="es-MX"/>
                    </w:rPr>
                  </w:pPr>
                  <w:r w:rsidRPr="00E14C91">
                    <w:rPr>
                      <w:rFonts w:ascii="Tahoma" w:eastAsia="Times New Roman" w:hAnsi="Tahoma" w:cs="Tahoma"/>
                      <w:sz w:val="20"/>
                      <w:szCs w:val="20"/>
                      <w:lang w:val="es-MX"/>
                    </w:rPr>
                    <w:t>IN Control 7.5 1GB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14C91" w:rsidRPr="00E14C91" w:rsidRDefault="00E14C91" w:rsidP="00E14C9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val="es-MX"/>
                    </w:rPr>
                  </w:pPr>
                  <w:r w:rsidRPr="00E14C91">
                    <w:rPr>
                      <w:rFonts w:ascii="Tahoma" w:eastAsia="Times New Roman" w:hAnsi="Tahoma" w:cs="Tahoma"/>
                      <w:sz w:val="20"/>
                      <w:szCs w:val="20"/>
                      <w:lang w:val="es-MX"/>
                    </w:rPr>
                    <w:t xml:space="preserve">TEINT201400192 </w:t>
                  </w:r>
                </w:p>
              </w:tc>
            </w:tr>
            <w:tr w:rsidR="00E14C91" w:rsidRPr="00E14C91">
              <w:trPr>
                <w:trHeight w:val="300"/>
                <w:jc w:val="center"/>
              </w:trPr>
              <w:tc>
                <w:tcPr>
                  <w:tcW w:w="3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14C91" w:rsidRPr="00E14C91" w:rsidRDefault="00E14C91" w:rsidP="00E14C9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val="es-MX"/>
                    </w:rPr>
                  </w:pPr>
                  <w:r w:rsidRPr="00E14C91">
                    <w:rPr>
                      <w:rFonts w:ascii="Tahoma" w:eastAsia="Times New Roman" w:hAnsi="Tahoma" w:cs="Tahoma"/>
                      <w:sz w:val="20"/>
                      <w:szCs w:val="20"/>
                      <w:lang w:val="es-MX"/>
                    </w:rPr>
                    <w:t>IN Control 2GB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14C91" w:rsidRPr="00E14C91" w:rsidRDefault="00E14C91" w:rsidP="00E14C9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E14C91">
                    <w:rPr>
                      <w:rFonts w:ascii="Tahoma" w:eastAsia="Times New Roman" w:hAnsi="Tahoma" w:cs="Tahoma"/>
                      <w:sz w:val="20"/>
                      <w:szCs w:val="20"/>
                      <w:lang w:val="es-MX"/>
                    </w:rPr>
                    <w:t>TEINT20140</w:t>
                  </w:r>
                  <w:r w:rsidRPr="00E14C9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0153 </w:t>
                  </w:r>
                </w:p>
              </w:tc>
            </w:tr>
            <w:tr w:rsidR="00E14C91" w:rsidRPr="00E14C91">
              <w:trPr>
                <w:trHeight w:val="300"/>
                <w:jc w:val="center"/>
              </w:trPr>
              <w:tc>
                <w:tcPr>
                  <w:tcW w:w="3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14C91" w:rsidRPr="00E14C91" w:rsidRDefault="00E14C91" w:rsidP="00E14C9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E14C9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IN Control 5GB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14C91" w:rsidRPr="00E14C91" w:rsidRDefault="00E14C91" w:rsidP="00E14C9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E14C9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TEINT201400155 </w:t>
                  </w:r>
                </w:p>
              </w:tc>
            </w:tr>
            <w:tr w:rsidR="00E14C91" w:rsidRPr="00E14C91">
              <w:trPr>
                <w:trHeight w:val="300"/>
                <w:jc w:val="center"/>
              </w:trPr>
              <w:tc>
                <w:tcPr>
                  <w:tcW w:w="3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14C91" w:rsidRPr="00E14C91" w:rsidRDefault="00E14C91" w:rsidP="00E14C9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E14C9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IN Control 1GB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14C91" w:rsidRPr="00E14C91" w:rsidRDefault="00E14C91" w:rsidP="00E14C9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E14C9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TEINT201400152 </w:t>
                  </w:r>
                </w:p>
              </w:tc>
            </w:tr>
            <w:tr w:rsidR="00E14C91" w:rsidRPr="00E14C91">
              <w:trPr>
                <w:trHeight w:val="300"/>
                <w:jc w:val="center"/>
              </w:trPr>
              <w:tc>
                <w:tcPr>
                  <w:tcW w:w="3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14C91" w:rsidRPr="00E14C91" w:rsidRDefault="00E14C91" w:rsidP="00E14C9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E14C9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IN Control 10GB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14C91" w:rsidRPr="00E14C91" w:rsidRDefault="00E14C91" w:rsidP="00E14C9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E14C9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TEINT201400156 </w:t>
                  </w:r>
                </w:p>
              </w:tc>
            </w:tr>
            <w:tr w:rsidR="00E14C91" w:rsidRPr="00E14C91">
              <w:trPr>
                <w:trHeight w:val="300"/>
                <w:jc w:val="center"/>
              </w:trPr>
              <w:tc>
                <w:tcPr>
                  <w:tcW w:w="3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14C91" w:rsidRPr="00E14C91" w:rsidRDefault="00E14C91" w:rsidP="00E14C9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E14C9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Control 5GB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14C91" w:rsidRPr="00E14C91" w:rsidRDefault="00E14C91" w:rsidP="00E14C9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E14C9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TEINT201400149 </w:t>
                  </w:r>
                </w:p>
              </w:tc>
            </w:tr>
            <w:tr w:rsidR="00E14C91" w:rsidRPr="00E14C91">
              <w:trPr>
                <w:trHeight w:val="300"/>
                <w:jc w:val="center"/>
              </w:trPr>
              <w:tc>
                <w:tcPr>
                  <w:tcW w:w="3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14C91" w:rsidRPr="00E14C91" w:rsidRDefault="00E14C91" w:rsidP="00E14C9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E14C9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Control 2GB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14C91" w:rsidRPr="00E14C91" w:rsidRDefault="00E14C91" w:rsidP="00E14C9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E14C9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TEINT201400148 </w:t>
                  </w:r>
                </w:p>
              </w:tc>
            </w:tr>
            <w:tr w:rsidR="00E14C91" w:rsidRPr="00E14C91">
              <w:trPr>
                <w:trHeight w:val="300"/>
                <w:jc w:val="center"/>
              </w:trPr>
              <w:tc>
                <w:tcPr>
                  <w:tcW w:w="3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14C91" w:rsidRPr="00E14C91" w:rsidRDefault="00E14C91" w:rsidP="00E14C9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E14C9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Control 10GB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14C91" w:rsidRPr="00E14C91" w:rsidRDefault="00E14C91" w:rsidP="00E14C9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E14C9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TEINT201400150 </w:t>
                  </w:r>
                </w:p>
              </w:tc>
            </w:tr>
            <w:tr w:rsidR="00E14C91" w:rsidRPr="00E14C91">
              <w:trPr>
                <w:trHeight w:val="300"/>
                <w:jc w:val="center"/>
              </w:trPr>
              <w:tc>
                <w:tcPr>
                  <w:tcW w:w="3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14C91" w:rsidRPr="00E14C91" w:rsidRDefault="00E14C91" w:rsidP="00E14C9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E14C9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IM Control Full 2.5 GB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14C91" w:rsidRPr="00E14C91" w:rsidRDefault="00E14C91" w:rsidP="00E14C9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E14C9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TEINT201400185 </w:t>
                  </w:r>
                </w:p>
              </w:tc>
            </w:tr>
            <w:tr w:rsidR="00E14C91" w:rsidRPr="00E14C91">
              <w:trPr>
                <w:trHeight w:val="300"/>
                <w:jc w:val="center"/>
              </w:trPr>
              <w:tc>
                <w:tcPr>
                  <w:tcW w:w="3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14C91" w:rsidRPr="00E14C91" w:rsidRDefault="00E14C91" w:rsidP="00E14C9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E14C9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IM Control Full 5 GB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14C91" w:rsidRPr="00E14C91" w:rsidRDefault="00E14C91" w:rsidP="00E14C9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E14C9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TEINT201400184 </w:t>
                  </w:r>
                </w:p>
              </w:tc>
            </w:tr>
            <w:tr w:rsidR="00E14C91" w:rsidRPr="00E14C91">
              <w:trPr>
                <w:trHeight w:val="300"/>
                <w:jc w:val="center"/>
              </w:trPr>
              <w:tc>
                <w:tcPr>
                  <w:tcW w:w="3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14C91" w:rsidRPr="00E14C91" w:rsidRDefault="00E14C91" w:rsidP="00E14C9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E14C91">
                    <w:rPr>
                      <w:rFonts w:ascii="Tahoma" w:eastAsia="Times New Roman" w:hAnsi="Tahoma" w:cs="Tahoma"/>
                      <w:sz w:val="20"/>
                      <w:szCs w:val="20"/>
                    </w:rPr>
                    <w:lastRenderedPageBreak/>
                    <w:t>IM Control Full 1 GB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14C91" w:rsidRPr="00E14C91" w:rsidRDefault="00E14C91" w:rsidP="00E14C9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E14C9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TEINT201400183 </w:t>
                  </w:r>
                </w:p>
              </w:tc>
            </w:tr>
            <w:tr w:rsidR="00E14C91" w:rsidRPr="00E14C91">
              <w:trPr>
                <w:trHeight w:val="300"/>
                <w:jc w:val="center"/>
              </w:trPr>
              <w:tc>
                <w:tcPr>
                  <w:tcW w:w="3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14C91" w:rsidRPr="00E14C91" w:rsidRDefault="00E14C91" w:rsidP="00E14C9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E14C9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IN Control 3GB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14C91" w:rsidRPr="00E14C91" w:rsidRDefault="00E14C91" w:rsidP="00E14C9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E14C9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TEINT201400154 </w:t>
                  </w:r>
                </w:p>
              </w:tc>
            </w:tr>
          </w:tbl>
          <w:p w:rsidR="00E14C91" w:rsidRPr="00E14C91" w:rsidRDefault="00E14C91" w:rsidP="00E14C9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E14C91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E14C91">
              <w:rPr>
                <w:rFonts w:ascii="Tahoma" w:eastAsia="Times New Roman" w:hAnsi="Tahoma" w:cs="Tahoma"/>
                <w:sz w:val="20"/>
                <w:szCs w:val="20"/>
              </w:rPr>
              <w:br/>
              <w:t xml:space="preserve">Y </w:t>
            </w:r>
            <w:proofErr w:type="spellStart"/>
            <w:r w:rsidRPr="00E14C91">
              <w:rPr>
                <w:rFonts w:ascii="Tahoma" w:eastAsia="Times New Roman" w:hAnsi="Tahoma" w:cs="Tahoma"/>
                <w:sz w:val="20"/>
                <w:szCs w:val="20"/>
              </w:rPr>
              <w:t>realicen</w:t>
            </w:r>
            <w:proofErr w:type="spellEnd"/>
            <w:r w:rsidRPr="00E14C91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E14C91">
              <w:rPr>
                <w:rFonts w:ascii="Tahoma" w:eastAsia="Times New Roman" w:hAnsi="Tahoma" w:cs="Tahoma"/>
                <w:sz w:val="20"/>
                <w:szCs w:val="20"/>
              </w:rPr>
              <w:t>una</w:t>
            </w:r>
            <w:proofErr w:type="spellEnd"/>
            <w:r w:rsidRPr="00E14C91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E14C91">
              <w:rPr>
                <w:rFonts w:ascii="Tahoma" w:eastAsia="Times New Roman" w:hAnsi="Tahoma" w:cs="Tahoma"/>
                <w:sz w:val="20"/>
                <w:szCs w:val="20"/>
              </w:rPr>
              <w:t>Entel</w:t>
            </w:r>
            <w:proofErr w:type="spellEnd"/>
            <w:r w:rsidRPr="00E14C91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E14C91">
              <w:rPr>
                <w:rFonts w:ascii="Tahoma" w:eastAsia="Times New Roman" w:hAnsi="Tahoma" w:cs="Tahoma"/>
                <w:sz w:val="20"/>
                <w:szCs w:val="20"/>
              </w:rPr>
              <w:t>Recarga</w:t>
            </w:r>
            <w:proofErr w:type="spellEnd"/>
            <w:r w:rsidRPr="00E14C91">
              <w:rPr>
                <w:rFonts w:ascii="Tahoma" w:eastAsia="Times New Roman" w:hAnsi="Tahoma" w:cs="Tahoma"/>
                <w:sz w:val="20"/>
                <w:szCs w:val="20"/>
              </w:rPr>
              <w:t>:</w:t>
            </w:r>
          </w:p>
          <w:p w:rsidR="00E14C91" w:rsidRPr="00E14C91" w:rsidRDefault="00E14C91" w:rsidP="00E14C91">
            <w:pPr>
              <w:spacing w:after="0"/>
              <w:ind w:hanging="360"/>
              <w:rPr>
                <w:rFonts w:ascii="Tahoma" w:eastAsia="Times New Roman" w:hAnsi="Tahoma" w:cs="Tahoma"/>
                <w:sz w:val="20"/>
                <w:szCs w:val="20"/>
                <w:lang w:val="es-MX"/>
              </w:rPr>
            </w:pPr>
            <w:r w:rsidRPr="00E14C91">
              <w:rPr>
                <w:rFonts w:ascii="Tahoma" w:eastAsia="Times New Roman" w:hAnsi="Tahoma" w:cs="Tahoma"/>
                <w:sz w:val="20"/>
                <w:szCs w:val="20"/>
                <w:lang w:val="es-MX"/>
              </w:rPr>
              <w:t>1)    Mayor o igual a S/.3.00 y menor a S/.5.00, recibirán 15MB* como bono adicional. Este bono tendrá una vigencia de siete (7) días calendario.</w:t>
            </w:r>
          </w:p>
          <w:p w:rsidR="00E14C91" w:rsidRPr="00E14C91" w:rsidRDefault="00E14C91" w:rsidP="00E14C91">
            <w:pPr>
              <w:spacing w:after="0"/>
              <w:ind w:hanging="360"/>
              <w:rPr>
                <w:rFonts w:ascii="Tahoma" w:eastAsia="Times New Roman" w:hAnsi="Tahoma" w:cs="Tahoma"/>
                <w:sz w:val="20"/>
                <w:szCs w:val="20"/>
                <w:lang w:val="es-MX"/>
              </w:rPr>
            </w:pPr>
            <w:r w:rsidRPr="00E14C91">
              <w:rPr>
                <w:rFonts w:ascii="Tahoma" w:eastAsia="Times New Roman" w:hAnsi="Tahoma" w:cs="Tahoma"/>
                <w:sz w:val="20"/>
                <w:szCs w:val="20"/>
                <w:lang w:val="es-MX"/>
              </w:rPr>
              <w:t>2)    Mayor o igual a S/.5.00 y menor a S/.10.00, recibirán 30MB* como bono adicional. Este bono tendrá una vigencia de siete (7) días calendario.</w:t>
            </w:r>
          </w:p>
          <w:p w:rsidR="00E14C91" w:rsidRPr="00E14C91" w:rsidRDefault="00E14C91" w:rsidP="00E14C91">
            <w:pPr>
              <w:spacing w:after="0"/>
              <w:ind w:hanging="360"/>
              <w:rPr>
                <w:rFonts w:ascii="Tahoma" w:eastAsia="Times New Roman" w:hAnsi="Tahoma" w:cs="Tahoma"/>
                <w:sz w:val="20"/>
                <w:szCs w:val="20"/>
                <w:lang w:val="es-MX"/>
              </w:rPr>
            </w:pPr>
            <w:r w:rsidRPr="00E14C91">
              <w:rPr>
                <w:rFonts w:ascii="Tahoma" w:eastAsia="Times New Roman" w:hAnsi="Tahoma" w:cs="Tahoma"/>
                <w:sz w:val="20"/>
                <w:szCs w:val="20"/>
                <w:lang w:val="es-MX"/>
              </w:rPr>
              <w:t>3)    Mayor o igual a S/.10.00 y menor a S/.20.00, recibirán 80MB* como bono adicional. Este bono tendrá una vigencia de siete (7) días calendario.</w:t>
            </w:r>
          </w:p>
          <w:p w:rsidR="00E14C91" w:rsidRPr="00E14C91" w:rsidRDefault="00E14C91" w:rsidP="00E14C91">
            <w:pPr>
              <w:spacing w:after="0"/>
              <w:ind w:hanging="360"/>
              <w:rPr>
                <w:rFonts w:ascii="Tahoma" w:eastAsia="Times New Roman" w:hAnsi="Tahoma" w:cs="Tahoma"/>
                <w:sz w:val="20"/>
                <w:szCs w:val="20"/>
                <w:lang w:val="es-MX"/>
              </w:rPr>
            </w:pPr>
            <w:r w:rsidRPr="00E14C91">
              <w:rPr>
                <w:rFonts w:ascii="Tahoma" w:eastAsia="Times New Roman" w:hAnsi="Tahoma" w:cs="Tahoma"/>
                <w:sz w:val="20"/>
                <w:szCs w:val="20"/>
                <w:lang w:val="es-MX"/>
              </w:rPr>
              <w:t>4)    Mayor o igual a S/.20.00, recibirán 200MB* como bono adicional. Este bono tendrá una vigencia de siete (7) días calendario.</w:t>
            </w:r>
          </w:p>
          <w:p w:rsidR="00E14C91" w:rsidRPr="00E14C91" w:rsidRDefault="00E14C91" w:rsidP="00E14C91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val="es-MX"/>
              </w:rPr>
            </w:pPr>
            <w:r w:rsidRPr="00E14C91">
              <w:rPr>
                <w:rFonts w:ascii="Tahoma" w:eastAsia="Times New Roman" w:hAnsi="Tahoma" w:cs="Tahoma"/>
                <w:sz w:val="20"/>
                <w:szCs w:val="20"/>
                <w:lang w:val="es-MX"/>
              </w:rPr>
              <w:br/>
            </w:r>
            <w:r w:rsidRPr="00E14C91">
              <w:rPr>
                <w:rFonts w:ascii="Tahoma" w:eastAsia="Times New Roman" w:hAnsi="Tahoma" w:cs="Tahoma"/>
                <w:sz w:val="20"/>
                <w:szCs w:val="20"/>
                <w:lang w:val="es-MX"/>
              </w:rPr>
              <w:br/>
            </w:r>
            <w:r w:rsidRPr="00E14C91">
              <w:rPr>
                <w:rFonts w:ascii="Tahoma" w:eastAsia="Times New Roman" w:hAnsi="Tahoma" w:cs="Tahoma"/>
                <w:sz w:val="20"/>
                <w:szCs w:val="20"/>
                <w:lang w:val="es-MX"/>
              </w:rPr>
              <w:br/>
            </w:r>
            <w:r w:rsidRPr="00E14C91">
              <w:rPr>
                <w:rFonts w:ascii="Tahoma" w:eastAsia="Times New Roman" w:hAnsi="Tahoma" w:cs="Tahoma"/>
                <w:sz w:val="20"/>
                <w:szCs w:val="20"/>
                <w:lang w:val="es-MX"/>
              </w:rPr>
              <w:br/>
              <w:t>Las condiciones aplicables a Planes Tarifarios se regirán por lo establecido en los avisos registrados en la página web de OSIPTEL.</w:t>
            </w:r>
          </w:p>
        </w:tc>
      </w:tr>
      <w:tr w:rsidR="00E14C91" w:rsidRPr="00E14C91" w:rsidTr="00E14C91">
        <w:trPr>
          <w:trHeight w:val="150"/>
          <w:tblCellSpacing w:w="0" w:type="dxa"/>
        </w:trPr>
        <w:tc>
          <w:tcPr>
            <w:tcW w:w="0" w:type="auto"/>
            <w:gridSpan w:val="2"/>
            <w:shd w:val="clear" w:color="auto" w:fill="3E4997"/>
            <w:hideMark/>
          </w:tcPr>
          <w:p w:rsidR="00E14C91" w:rsidRPr="00E14C91" w:rsidRDefault="00E14C91" w:rsidP="00E14C91">
            <w:pPr>
              <w:spacing w:after="0"/>
              <w:jc w:val="right"/>
              <w:rPr>
                <w:rFonts w:ascii="Tahoma" w:eastAsia="Times New Roman" w:hAnsi="Tahoma" w:cs="Tahoma"/>
                <w:sz w:val="20"/>
                <w:szCs w:val="20"/>
                <w:lang w:val="es-MX"/>
              </w:rPr>
            </w:pPr>
            <w:r w:rsidRPr="00E14C91">
              <w:rPr>
                <w:rFonts w:ascii="Tahoma" w:eastAsia="Times New Roman" w:hAnsi="Tahoma" w:cs="Tahoma"/>
                <w:sz w:val="20"/>
                <w:szCs w:val="20"/>
                <w:lang w:val="es-MX"/>
              </w:rPr>
              <w:lastRenderedPageBreak/>
              <w:t> </w:t>
            </w:r>
          </w:p>
        </w:tc>
      </w:tr>
      <w:tr w:rsidR="00E14C91" w:rsidRPr="00E14C91" w:rsidTr="00E14C91">
        <w:trPr>
          <w:tblCellSpacing w:w="0" w:type="dxa"/>
        </w:trPr>
        <w:tc>
          <w:tcPr>
            <w:tcW w:w="1000" w:type="pct"/>
            <w:hideMark/>
          </w:tcPr>
          <w:p w:rsidR="00E14C91" w:rsidRPr="00E14C91" w:rsidRDefault="00E14C91" w:rsidP="00E14C91">
            <w:pPr>
              <w:spacing w:after="0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E14C9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Restricciones</w:t>
            </w:r>
            <w:proofErr w:type="spellEnd"/>
            <w:r w:rsidRPr="00E14C9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14C91" w:rsidRPr="00E14C91" w:rsidRDefault="00E14C91" w:rsidP="00E14C91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val="es-MX"/>
              </w:rPr>
            </w:pPr>
            <w:r w:rsidRPr="00E14C91">
              <w:rPr>
                <w:rFonts w:ascii="Tahoma" w:eastAsia="Times New Roman" w:hAnsi="Tahoma" w:cs="Tahoma"/>
                <w:sz w:val="20"/>
                <w:szCs w:val="20"/>
                <w:lang w:val="es-MX"/>
              </w:rPr>
              <w:t>- La promoción es válida para recargas a partir de S/. 3.00 (tres  nuevos soles) en adelante.</w:t>
            </w:r>
            <w:r w:rsidRPr="00E14C91">
              <w:rPr>
                <w:rFonts w:ascii="Tahoma" w:eastAsia="Times New Roman" w:hAnsi="Tahoma" w:cs="Tahoma"/>
                <w:sz w:val="20"/>
                <w:szCs w:val="20"/>
                <w:lang w:val="es-MX"/>
              </w:rPr>
              <w:br/>
            </w:r>
            <w:r w:rsidRPr="00E14C91">
              <w:rPr>
                <w:rFonts w:ascii="Tahoma" w:eastAsia="Times New Roman" w:hAnsi="Tahoma" w:cs="Tahoma"/>
                <w:sz w:val="20"/>
                <w:szCs w:val="20"/>
                <w:lang w:val="es-MX"/>
              </w:rPr>
              <w:br/>
              <w:t>- La promoción asigna un bono de MB de acuerdo al monto de recarga realizado.</w:t>
            </w:r>
          </w:p>
          <w:p w:rsidR="00E14C91" w:rsidRPr="00E14C91" w:rsidRDefault="00E14C91" w:rsidP="00E14C91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val="es-MX"/>
              </w:rPr>
            </w:pPr>
            <w:r w:rsidRPr="00E14C91">
              <w:rPr>
                <w:rFonts w:ascii="Tahoma" w:eastAsia="Times New Roman" w:hAnsi="Tahoma" w:cs="Tahoma"/>
                <w:sz w:val="20"/>
                <w:szCs w:val="20"/>
                <w:lang w:val="es-MX"/>
              </w:rPr>
              <w:t> </w:t>
            </w:r>
          </w:p>
          <w:p w:rsidR="00E14C91" w:rsidRPr="00E14C91" w:rsidRDefault="00E14C91" w:rsidP="00E14C91">
            <w:pPr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E14C91">
              <w:rPr>
                <w:rFonts w:ascii="Tahoma" w:eastAsia="Times New Roman" w:hAnsi="Tahoma" w:cs="Tahoma"/>
                <w:sz w:val="20"/>
                <w:szCs w:val="20"/>
                <w:lang w:val="es-MX"/>
              </w:rPr>
              <w:t>-Los bonos tienen una vigencia de 7 días calendario luego de su asignación.</w:t>
            </w:r>
            <w:r w:rsidRPr="00E14C91">
              <w:rPr>
                <w:rFonts w:ascii="Tahoma" w:eastAsia="Times New Roman" w:hAnsi="Tahoma" w:cs="Tahoma"/>
                <w:sz w:val="20"/>
                <w:szCs w:val="20"/>
                <w:lang w:val="es-MX"/>
              </w:rPr>
              <w:br/>
            </w:r>
            <w:r w:rsidRPr="00E14C91">
              <w:rPr>
                <w:rFonts w:ascii="Tahoma" w:eastAsia="Times New Roman" w:hAnsi="Tahoma" w:cs="Tahoma"/>
                <w:sz w:val="20"/>
                <w:szCs w:val="20"/>
                <w:lang w:val="es-MX"/>
              </w:rPr>
              <w:br/>
              <w:t>- Primero se consumirán los MB del bono asignado, para luego consumir el los  MB asignados por el plan tarifario.</w:t>
            </w:r>
            <w:r w:rsidRPr="00E14C91">
              <w:rPr>
                <w:rFonts w:ascii="Tahoma" w:eastAsia="Times New Roman" w:hAnsi="Tahoma" w:cs="Tahoma"/>
                <w:sz w:val="20"/>
                <w:szCs w:val="20"/>
                <w:lang w:val="es-MX"/>
              </w:rPr>
              <w:br/>
            </w:r>
            <w:r w:rsidRPr="00E14C91">
              <w:rPr>
                <w:rFonts w:ascii="Tahoma" w:eastAsia="Times New Roman" w:hAnsi="Tahoma" w:cs="Tahoma"/>
                <w:sz w:val="20"/>
                <w:szCs w:val="20"/>
                <w:lang w:val="es-MX"/>
              </w:rPr>
              <w:br/>
              <w:t>- En caso que el abonado luego de adquirir la Promoción, migre a un plan tarifario que no se encuentre incluido en la Promoción perderá el Bono.</w:t>
            </w:r>
            <w:r w:rsidRPr="00E14C91">
              <w:rPr>
                <w:rFonts w:ascii="Tahoma" w:eastAsia="Times New Roman" w:hAnsi="Tahoma" w:cs="Tahoma"/>
                <w:sz w:val="20"/>
                <w:szCs w:val="20"/>
                <w:lang w:val="es-MX"/>
              </w:rPr>
              <w:br/>
            </w:r>
            <w:r w:rsidRPr="00E14C91">
              <w:rPr>
                <w:rFonts w:ascii="Tahoma" w:eastAsia="Times New Roman" w:hAnsi="Tahoma" w:cs="Tahoma"/>
                <w:sz w:val="20"/>
                <w:szCs w:val="20"/>
                <w:lang w:val="es-MX"/>
              </w:rPr>
              <w:br/>
            </w:r>
            <w:r w:rsidRPr="00E14C91">
              <w:rPr>
                <w:rFonts w:ascii="Tahoma" w:eastAsia="Times New Roman" w:hAnsi="Tahoma" w:cs="Tahoma"/>
                <w:sz w:val="20"/>
                <w:szCs w:val="20"/>
                <w:lang w:val="es-MX"/>
              </w:rPr>
              <w:br/>
            </w:r>
            <w:r w:rsidRPr="00E14C91">
              <w:rPr>
                <w:rFonts w:ascii="Tahoma" w:eastAsia="Times New Roman" w:hAnsi="Tahoma" w:cs="Tahoma"/>
                <w:sz w:val="20"/>
                <w:szCs w:val="20"/>
                <w:lang w:val="es-MX"/>
              </w:rPr>
              <w:br/>
            </w:r>
            <w:r w:rsidRPr="00E14C91">
              <w:rPr>
                <w:rFonts w:ascii="Tahoma" w:eastAsia="Times New Roman" w:hAnsi="Tahoma" w:cs="Tahoma"/>
                <w:sz w:val="20"/>
                <w:szCs w:val="20"/>
              </w:rPr>
              <w:t xml:space="preserve">* Las </w:t>
            </w:r>
            <w:proofErr w:type="spellStart"/>
            <w:r w:rsidRPr="00E14C91">
              <w:rPr>
                <w:rFonts w:ascii="Tahoma" w:eastAsia="Times New Roman" w:hAnsi="Tahoma" w:cs="Tahoma"/>
                <w:sz w:val="20"/>
                <w:szCs w:val="20"/>
              </w:rPr>
              <w:t>siglas</w:t>
            </w:r>
            <w:proofErr w:type="spellEnd"/>
            <w:r w:rsidRPr="00E14C91">
              <w:rPr>
                <w:rFonts w:ascii="Tahoma" w:eastAsia="Times New Roman" w:hAnsi="Tahoma" w:cs="Tahoma"/>
                <w:sz w:val="20"/>
                <w:szCs w:val="20"/>
              </w:rPr>
              <w:t xml:space="preserve"> MB </w:t>
            </w:r>
            <w:proofErr w:type="spellStart"/>
            <w:r w:rsidRPr="00E14C91">
              <w:rPr>
                <w:rFonts w:ascii="Tahoma" w:eastAsia="Times New Roman" w:hAnsi="Tahoma" w:cs="Tahoma"/>
                <w:sz w:val="20"/>
                <w:szCs w:val="20"/>
              </w:rPr>
              <w:t>corresponden</w:t>
            </w:r>
            <w:proofErr w:type="spellEnd"/>
            <w:r w:rsidRPr="00E14C91">
              <w:rPr>
                <w:rFonts w:ascii="Tahoma" w:eastAsia="Times New Roman" w:hAnsi="Tahoma" w:cs="Tahoma"/>
                <w:sz w:val="20"/>
                <w:szCs w:val="20"/>
              </w:rPr>
              <w:t xml:space="preserve"> a Megabytes.</w:t>
            </w:r>
          </w:p>
        </w:tc>
      </w:tr>
    </w:tbl>
    <w:p w:rsidR="00E14C91" w:rsidRPr="00E14C91" w:rsidRDefault="00E14C91" w:rsidP="00E14C91">
      <w:pPr>
        <w:spacing w:after="0"/>
        <w:rPr>
          <w:rFonts w:ascii="Tahoma" w:eastAsia="Times New Roman" w:hAnsi="Tahoma" w:cs="Tahoma"/>
          <w:sz w:val="20"/>
          <w:szCs w:val="20"/>
        </w:rPr>
      </w:pPr>
      <w:r w:rsidRPr="00E14C91">
        <w:rPr>
          <w:rFonts w:ascii="Tahoma" w:eastAsia="Times New Roman" w:hAnsi="Tahoma" w:cs="Tahoma"/>
          <w:sz w:val="20"/>
          <w:szCs w:val="20"/>
        </w:rPr>
        <w:pict/>
      </w:r>
    </w:p>
    <w:p w:rsidR="00E14C91" w:rsidRPr="00E14C91" w:rsidRDefault="00E14C91" w:rsidP="00E14C91">
      <w:pPr>
        <w:pBdr>
          <w:bottom w:val="single" w:sz="6" w:space="1" w:color="auto"/>
        </w:pBdr>
        <w:spacing w:after="0"/>
        <w:jc w:val="center"/>
        <w:rPr>
          <w:rFonts w:ascii="Tahoma" w:eastAsia="Times New Roman" w:hAnsi="Tahoma" w:cs="Tahoma"/>
          <w:vanish/>
          <w:sz w:val="20"/>
          <w:szCs w:val="20"/>
        </w:rPr>
      </w:pPr>
      <w:r w:rsidRPr="00E14C91">
        <w:rPr>
          <w:rFonts w:ascii="Tahoma" w:eastAsia="Times New Roman" w:hAnsi="Tahoma" w:cs="Tahoma"/>
          <w:vanish/>
          <w:sz w:val="20"/>
          <w:szCs w:val="20"/>
        </w:rPr>
        <w:t>Top of Form</w:t>
      </w:r>
    </w:p>
    <w:p w:rsidR="00E14C91" w:rsidRPr="00E14C91" w:rsidRDefault="00E14C91" w:rsidP="00E14C91">
      <w:pPr>
        <w:spacing w:after="0"/>
        <w:rPr>
          <w:rFonts w:ascii="Tahoma" w:eastAsia="Times New Roman" w:hAnsi="Tahoma" w:cs="Tahoma"/>
          <w:sz w:val="20"/>
          <w:szCs w:val="20"/>
        </w:rPr>
      </w:pPr>
      <w:r w:rsidRPr="00E14C91">
        <w:rPr>
          <w:rFonts w:ascii="Tahoma" w:eastAsia="Times New Roman" w:hAnsi="Tahoma" w:cs="Tahoma"/>
          <w:sz w:val="20"/>
          <w:szCs w:val="20"/>
        </w:rPr>
        <w:object w:dxaOrig="9360" w:dyaOrig="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in;height:18.35pt" o:ole="">
            <v:imagedata r:id="rId6" o:title=""/>
          </v:shape>
          <w:control r:id="rId7" w:name="DefaultOcxName" w:shapeid="_x0000_i1034"/>
        </w:object>
      </w:r>
    </w:p>
    <w:p w:rsidR="00E14C91" w:rsidRPr="00E14C91" w:rsidRDefault="00E14C91" w:rsidP="00E14C91">
      <w:pPr>
        <w:spacing w:after="0"/>
        <w:rPr>
          <w:rFonts w:ascii="Tahoma" w:eastAsia="Times New Roman" w:hAnsi="Tahoma" w:cs="Tahoma"/>
          <w:sz w:val="20"/>
          <w:szCs w:val="20"/>
        </w:rPr>
      </w:pPr>
      <w:r w:rsidRPr="00E14C91">
        <w:rPr>
          <w:rFonts w:ascii="Tahoma" w:eastAsia="Times New Roman" w:hAnsi="Tahoma" w:cs="Tahoma"/>
          <w:sz w:val="20"/>
          <w:szCs w:val="20"/>
        </w:rPr>
        <w:object w:dxaOrig="9360" w:dyaOrig="30">
          <v:shape id="_x0000_i1033" type="#_x0000_t75" style="width:1in;height:18.35pt" o:ole="">
            <v:imagedata r:id="rId8" o:title=""/>
          </v:shape>
          <w:control r:id="rId9" w:name="DefaultOcxName1" w:shapeid="_x0000_i1033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5"/>
        <w:gridCol w:w="4725"/>
      </w:tblGrid>
      <w:tr w:rsidR="00E14C91" w:rsidRPr="00E14C91" w:rsidTr="00E14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C91" w:rsidRPr="00E14C91" w:rsidRDefault="00E14C91" w:rsidP="00E14C91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14C91" w:rsidRPr="00E14C91" w:rsidRDefault="00E14C91" w:rsidP="00E14C91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E14C91" w:rsidRPr="00E14C91" w:rsidRDefault="00E14C91" w:rsidP="00E14C91">
      <w:pPr>
        <w:pBdr>
          <w:top w:val="single" w:sz="6" w:space="1" w:color="auto"/>
        </w:pBdr>
        <w:spacing w:after="0"/>
        <w:jc w:val="center"/>
        <w:rPr>
          <w:rFonts w:ascii="Tahoma" w:eastAsia="Times New Roman" w:hAnsi="Tahoma" w:cs="Tahoma"/>
          <w:vanish/>
          <w:sz w:val="20"/>
          <w:szCs w:val="20"/>
        </w:rPr>
      </w:pPr>
      <w:r w:rsidRPr="00E14C91">
        <w:rPr>
          <w:rFonts w:ascii="Tahoma" w:eastAsia="Times New Roman" w:hAnsi="Tahoma" w:cs="Tahoma"/>
          <w:vanish/>
          <w:sz w:val="20"/>
          <w:szCs w:val="20"/>
        </w:rPr>
        <w:t>Bottom of Form</w:t>
      </w:r>
    </w:p>
    <w:p w:rsidR="00156680" w:rsidRPr="00E14C91" w:rsidRDefault="008A0ECE" w:rsidP="00E14C91">
      <w:pPr>
        <w:rPr>
          <w:rFonts w:ascii="Tahoma" w:hAnsi="Tahoma" w:cs="Tahoma"/>
          <w:sz w:val="20"/>
          <w:szCs w:val="20"/>
        </w:rPr>
      </w:pPr>
    </w:p>
    <w:sectPr w:rsidR="00156680" w:rsidRPr="00E14C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91"/>
    <w:rsid w:val="000E349E"/>
    <w:rsid w:val="005859F2"/>
    <w:rsid w:val="008A0ECE"/>
    <w:rsid w:val="00E1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4C91"/>
    <w:rPr>
      <w:strike w:val="0"/>
      <w:dstrike w:val="0"/>
      <w:color w:val="004584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14C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14C9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14C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14C91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4C91"/>
    <w:rPr>
      <w:strike w:val="0"/>
      <w:dstrike w:val="0"/>
      <w:color w:val="004584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14C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14C9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14C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14C91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hyperlink" Target="http://www.entel.pe/publicaciones-de-la-seman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Mendoza Ramirez, Sofia</dc:creator>
  <cp:lastModifiedBy>Mendoza Ramirez, Sofia</cp:lastModifiedBy>
  <cp:revision>2</cp:revision>
  <dcterms:created xsi:type="dcterms:W3CDTF">2015-03-31T14:54:00Z</dcterms:created>
  <dcterms:modified xsi:type="dcterms:W3CDTF">2015-03-31T14:55:00Z</dcterms:modified>
</cp:coreProperties>
</file>